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4" w:rsidRPr="002F7A28" w:rsidRDefault="00EA3AC4" w:rsidP="00EA3AC4">
      <w:pPr>
        <w:widowControl w:val="0"/>
        <w:suppressAutoHyphens/>
        <w:jc w:val="center"/>
        <w:outlineLvl w:val="0"/>
        <w:rPr>
          <w:rFonts w:eastAsia="Arial Unicode MS"/>
          <w:b/>
          <w:color w:val="000000"/>
          <w:kern w:val="3"/>
          <w:sz w:val="26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6"/>
          <w:u w:color="000000"/>
          <w:lang w:val="it-IT"/>
        </w:rPr>
        <w:t>Prima prova</w:t>
      </w:r>
    </w:p>
    <w:p w:rsidR="00EA3AC4" w:rsidRDefault="00EA3AC4" w:rsidP="00EA3AC4">
      <w:pPr>
        <w:widowControl w:val="0"/>
        <w:suppressAutoHyphens/>
        <w:jc w:val="center"/>
        <w:outlineLvl w:val="0"/>
        <w:rPr>
          <w:rFonts w:eastAsia="Arial Unicode MS"/>
          <w:b/>
          <w:color w:val="000000"/>
          <w:kern w:val="3"/>
          <w:sz w:val="26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6"/>
          <w:u w:color="000000"/>
          <w:lang w:val="it-IT"/>
        </w:rPr>
        <w:t>Discipline tecniche aziendalistiche</w:t>
      </w:r>
    </w:p>
    <w:p w:rsidR="00EA3AC4" w:rsidRPr="002F7A28" w:rsidRDefault="00EA3AC4" w:rsidP="00EA3AC4">
      <w:pPr>
        <w:widowControl w:val="0"/>
        <w:suppressAutoHyphens/>
        <w:jc w:val="center"/>
        <w:outlineLvl w:val="0"/>
        <w:rPr>
          <w:rFonts w:eastAsia="Arial Unicode MS"/>
          <w:b/>
          <w:color w:val="000000"/>
          <w:kern w:val="3"/>
          <w:sz w:val="26"/>
          <w:u w:color="000000"/>
          <w:lang w:val="it-IT"/>
        </w:rPr>
      </w:pP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  <w:t>Tema n.1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“La società Alfa Srl al cui interno é possibile individuare due rami d'azienda scinde un ramo d'azienda costituito da beni il cui valore contabile é pari ad € 1.200.000,00. Il ramo d'azienda oggetto della scissione confluisce in una srl di nuova costituzione.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b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Il candidato, integrando con opportuni dati a scelta, presenti le scritture contabili delle due società”.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  <w:t>Tema n.2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“L'azienda Alfa srl al cui interno é possibile individuare due rami d'azienda, conferisce nella società a responsabilità limitata Gamma uno di detti rami. Il valore netto contabile dei beni conferiti é pari ad € 1.000.000,00 ed il valore economico attribuito in sede di conferimento é di € 1.200.000,00.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b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 xml:space="preserve">Il candidato, integrando con opportuni dati a scelta, presenti le scritture contabili della società conferente e della società </w:t>
      </w:r>
      <w:proofErr w:type="spellStart"/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conferitaria</w:t>
      </w:r>
      <w:proofErr w:type="spellEnd"/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 xml:space="preserve"> che rileveranno la suddetta operazione a valori economici”.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  <w:t>Tema n.3 (traccia estratta)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 xml:space="preserve">“La società Alfa Srl per affrontare problemi di liquidità stipula un contratto d lease-back i cui dati fondamentali sono i seguenti: bene ceduto immobile strumentale per natura dal costo storico di € 1.000.000,00 e fondo di ammortamento di € 500.000,00; valore di cessione € 2.000.000,00; durata del contratto 15 anni; il corrispettivo complessivo dell'operazione dei lease-back é di € 2.400.000,00 oltre Iva, suddiviso nel </w:t>
      </w:r>
      <w:proofErr w:type="spellStart"/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max</w:t>
      </w:r>
      <w:proofErr w:type="spellEnd"/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 xml:space="preserve"> canone iniziale pari al 30% ed in 14 rate anticipate di pari importo con prezzo di riscatto alla scadenza del contratto pari all'1% del corrispettivo del contratto di lease-back.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Il candidato con eventuali e opportuni dati a scelta presenti le scritture contabili relative alla cessione dell'immobile e le scritture del 1^ e 2^ esercizio dell'operazione di lease-back e del riscatto del bene”.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color w:val="000000"/>
          <w:kern w:val="3"/>
          <w:sz w:val="22"/>
          <w:szCs w:val="22"/>
          <w:u w:color="000000"/>
          <w:lang w:val="it-IT"/>
        </w:rPr>
      </w:pPr>
    </w:p>
    <w:p w:rsidR="00EA3AC4" w:rsidRPr="002F7A28" w:rsidRDefault="00EA3AC4" w:rsidP="00EA3AC4">
      <w:pPr>
        <w:widowControl w:val="0"/>
        <w:suppressAutoHyphens/>
        <w:jc w:val="center"/>
        <w:outlineLvl w:val="0"/>
        <w:rPr>
          <w:rFonts w:eastAsia="Arial Unicode MS"/>
          <w:b/>
          <w:color w:val="000000"/>
          <w:kern w:val="3"/>
          <w:sz w:val="26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6"/>
          <w:u w:color="000000"/>
          <w:lang w:val="it-IT"/>
        </w:rPr>
        <w:t>Seconda prova</w:t>
      </w:r>
    </w:p>
    <w:p w:rsidR="00EA3AC4" w:rsidRPr="002F7A28" w:rsidRDefault="00EA3AC4" w:rsidP="00EA3AC4">
      <w:pPr>
        <w:widowControl w:val="0"/>
        <w:suppressAutoHyphens/>
        <w:jc w:val="center"/>
        <w:outlineLvl w:val="0"/>
        <w:rPr>
          <w:rFonts w:eastAsia="Arial Unicode MS"/>
          <w:b/>
          <w:color w:val="000000"/>
          <w:kern w:val="3"/>
          <w:sz w:val="26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6"/>
          <w:u w:color="000000"/>
          <w:lang w:val="it-IT"/>
        </w:rPr>
        <w:t>Discipline giuridiche</w:t>
      </w:r>
    </w:p>
    <w:p w:rsidR="00EA3AC4" w:rsidRPr="002F7A28" w:rsidRDefault="00EA3AC4" w:rsidP="00EA3AC4">
      <w:pPr>
        <w:widowControl w:val="0"/>
        <w:suppressAutoHyphens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</w:p>
    <w:p w:rsidR="00EA3AC4" w:rsidRPr="002F7A28" w:rsidRDefault="00EA3AC4" w:rsidP="00EA3AC4">
      <w:pPr>
        <w:widowControl w:val="0"/>
        <w:jc w:val="both"/>
        <w:outlineLvl w:val="0"/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  <w:t>Tema n.1 (traccia estratta)</w:t>
      </w:r>
    </w:p>
    <w:p w:rsidR="00EA3AC4" w:rsidRPr="002F7A28" w:rsidRDefault="00EA3AC4" w:rsidP="00EA3AC4">
      <w:pPr>
        <w:widowControl w:val="0"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i/>
          <w:color w:val="000000"/>
          <w:kern w:val="3"/>
          <w:sz w:val="22"/>
          <w:szCs w:val="22"/>
          <w:u w:color="000000"/>
          <w:lang w:val="it-IT"/>
        </w:rPr>
        <w:t>"</w:t>
      </w: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Il candidato dopo aver presentato l'istituto dell'accordo di ristrutturazione dei beni ex art. 182 bis L.F. evidenzi i punti essenziali della relazione predisposta dal professionista".</w:t>
      </w:r>
    </w:p>
    <w:p w:rsidR="00EA3AC4" w:rsidRPr="002F7A28" w:rsidRDefault="00EA3AC4" w:rsidP="00EA3AC4">
      <w:pPr>
        <w:widowControl w:val="0"/>
        <w:jc w:val="both"/>
        <w:outlineLvl w:val="0"/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  <w:t>Tema n.2</w:t>
      </w:r>
    </w:p>
    <w:p w:rsidR="00EA3AC4" w:rsidRPr="002F7A28" w:rsidRDefault="00EA3AC4" w:rsidP="00EA3AC4">
      <w:pPr>
        <w:widowControl w:val="0"/>
        <w:jc w:val="both"/>
        <w:outlineLvl w:val="0"/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"Il candidato descriva gli aspetti civilistici del contratto di affitto d'azienda nelle varie fasi che lo caratterizzano".</w:t>
      </w:r>
    </w:p>
    <w:p w:rsidR="00EA3AC4" w:rsidRPr="002F7A28" w:rsidRDefault="00EA3AC4" w:rsidP="00EA3AC4">
      <w:pPr>
        <w:widowControl w:val="0"/>
        <w:jc w:val="both"/>
        <w:outlineLvl w:val="0"/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</w:pPr>
      <w:r w:rsidRPr="002F7A28">
        <w:rPr>
          <w:rFonts w:eastAsia="Arial Unicode MS"/>
          <w:b/>
          <w:color w:val="000000"/>
          <w:kern w:val="3"/>
          <w:sz w:val="22"/>
          <w:szCs w:val="22"/>
          <w:u w:color="000000"/>
          <w:lang w:val="it-IT"/>
        </w:rPr>
        <w:t>Tema n.3</w:t>
      </w:r>
    </w:p>
    <w:p w:rsidR="00EA3AC4" w:rsidRPr="004506A0" w:rsidRDefault="00EA3AC4" w:rsidP="00EA3AC4">
      <w:pPr>
        <w:rPr>
          <w:lang w:val="it-IT"/>
        </w:rPr>
      </w:pPr>
      <w:r w:rsidRPr="002F7A28">
        <w:rPr>
          <w:rFonts w:eastAsia="Arial Unicode MS"/>
          <w:i/>
          <w:color w:val="000000"/>
          <w:kern w:val="3"/>
          <w:sz w:val="22"/>
          <w:szCs w:val="22"/>
          <w:u w:color="000000"/>
          <w:lang w:val="it-IT"/>
        </w:rPr>
        <w:t>"Il candidato tratti i profili civilistici del recesso del socio nelle società di capitale</w:t>
      </w:r>
    </w:p>
    <w:p w:rsidR="0039308D" w:rsidRPr="00EA3AC4" w:rsidRDefault="0039308D">
      <w:pPr>
        <w:rPr>
          <w:lang w:val="it-IT"/>
        </w:rPr>
      </w:pPr>
    </w:p>
    <w:sectPr w:rsidR="0039308D" w:rsidRPr="00EA3AC4" w:rsidSect="003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defaultTabStop w:val="708"/>
  <w:hyphenationZone w:val="283"/>
  <w:characterSpacingControl w:val="doNotCompress"/>
  <w:savePreviewPicture/>
  <w:compat/>
  <w:rsids>
    <w:rsidRoot w:val="00EA3AC4"/>
    <w:rsid w:val="00252A5A"/>
    <w:rsid w:val="0039308D"/>
    <w:rsid w:val="00DB505B"/>
    <w:rsid w:val="00E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2012-09-25T14:39:00Z</dcterms:created>
  <dcterms:modified xsi:type="dcterms:W3CDTF">2012-09-25T14:39:00Z</dcterms:modified>
</cp:coreProperties>
</file>